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03BF4" w14:textId="77777777" w:rsidR="00E262C2" w:rsidRDefault="00E262C2">
      <w:pPr>
        <w:divId w:val="349796439"/>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7418F247" w14:textId="77777777" w:rsidR="00E262C2" w:rsidRDefault="00E262C2">
      <w:pPr>
        <w:pStyle w:val="Balk1"/>
        <w:rPr>
          <w:rFonts w:eastAsia="Times New Roman"/>
          <w:color w:val="000000"/>
        </w:rPr>
      </w:pPr>
      <w:r>
        <w:rPr>
          <w:rFonts w:eastAsia="Times New Roman"/>
          <w:color w:val="000000"/>
        </w:rPr>
        <w:t>HOLDİNG ANONİM ŞİRKET ESAS SÖZLEŞMESİ</w:t>
      </w:r>
    </w:p>
    <w:p w14:paraId="7C138AB2" w14:textId="77777777" w:rsidR="00E262C2" w:rsidRDefault="00E262C2">
      <w:pPr>
        <w:pStyle w:val="altbaslik"/>
      </w:pPr>
      <w:r>
        <w:t>Örnek / doldurulabilir şablon · İştirak amaçlı anonim şirket kuruluşu için</w:t>
      </w:r>
    </w:p>
    <w:p w14:paraId="14BCC714" w14:textId="77777777" w:rsidR="00E262C2" w:rsidRDefault="00E262C2">
      <w:pPr>
        <w:shd w:val="clear" w:color="auto" w:fill="F2F9F3"/>
        <w:divId w:val="1142968066"/>
        <w:rPr>
          <w:rFonts w:ascii="Arial" w:eastAsia="Times New Roman" w:hAnsi="Arial" w:cs="Arial"/>
          <w:color w:val="000000"/>
          <w:sz w:val="19"/>
          <w:szCs w:val="19"/>
        </w:rPr>
      </w:pPr>
      <w:r>
        <w:rPr>
          <w:rStyle w:val="Gl"/>
          <w:rFonts w:ascii="Arial" w:eastAsia="Times New Roman" w:hAnsi="Arial" w:cs="Arial"/>
          <w:color w:val="000000"/>
          <w:sz w:val="19"/>
          <w:szCs w:val="19"/>
        </w:rPr>
        <w:t>HOLDİNG NEDİR, NE DEĞİLDİR?</w:t>
      </w:r>
      <w:r>
        <w:rPr>
          <w:rFonts w:ascii="Arial" w:eastAsia="Times New Roman" w:hAnsi="Arial" w:cs="Arial"/>
          <w:color w:val="000000"/>
          <w:sz w:val="19"/>
          <w:szCs w:val="19"/>
        </w:rPr>
        <w:t xml:space="preserve"> Holding, kanunda ayrı bir şirket türü değildir; </w:t>
      </w:r>
      <w:r>
        <w:rPr>
          <w:rStyle w:val="Gl"/>
          <w:rFonts w:ascii="Arial" w:eastAsia="Times New Roman" w:hAnsi="Arial" w:cs="Arial"/>
          <w:color w:val="000000"/>
          <w:sz w:val="19"/>
          <w:szCs w:val="19"/>
        </w:rPr>
        <w:t>amacı başka şirketlere iştirak etmek olan bir anonim şirkettir</w:t>
      </w:r>
      <w:r>
        <w:rPr>
          <w:rFonts w:ascii="Arial" w:eastAsia="Times New Roman" w:hAnsi="Arial" w:cs="Arial"/>
          <w:color w:val="000000"/>
          <w:sz w:val="19"/>
          <w:szCs w:val="19"/>
        </w:rPr>
        <w:t xml:space="preserve">. Bu nedenle kuruluşu, organları ve işleyişi anonim şirket hükümlerine tabidir. Ayırt edici nokta </w:t>
      </w:r>
      <w:r>
        <w:rPr>
          <w:rStyle w:val="Gl"/>
          <w:rFonts w:ascii="Arial" w:eastAsia="Times New Roman" w:hAnsi="Arial" w:cs="Arial"/>
          <w:color w:val="000000"/>
          <w:sz w:val="19"/>
          <w:szCs w:val="19"/>
        </w:rPr>
        <w:t>amaç ve konu maddesidir</w:t>
      </w:r>
      <w:r>
        <w:rPr>
          <w:rFonts w:ascii="Arial" w:eastAsia="Times New Roman" w:hAnsi="Arial" w:cs="Arial"/>
          <w:color w:val="000000"/>
          <w:sz w:val="19"/>
          <w:szCs w:val="19"/>
        </w:rPr>
        <w:t xml:space="preserve">: holding, kendisi doğrudan ticari/sınai üretim yapmak yerine iştiraklerinin paylarını edinir, yönetir ve finanse eder. Unvanında "holding" ibaresinin kullanılabilmesi ve kuruluş izni bakımından Ticaret Bakanlığı düzenlemelerine tabi olunur; </w:t>
      </w:r>
      <w:r>
        <w:rPr>
          <w:rStyle w:val="Gl"/>
          <w:rFonts w:ascii="Arial" w:eastAsia="Times New Roman" w:hAnsi="Arial" w:cs="Arial"/>
          <w:color w:val="000000"/>
          <w:sz w:val="19"/>
          <w:szCs w:val="19"/>
        </w:rPr>
        <w:t>kuruluşa başlamadan önce güncel izin v</w:t>
      </w:r>
      <w:r>
        <w:rPr>
          <w:rStyle w:val="Gl"/>
          <w:rFonts w:ascii="Arial" w:eastAsia="Times New Roman" w:hAnsi="Arial" w:cs="Arial"/>
          <w:color w:val="000000"/>
          <w:sz w:val="19"/>
          <w:szCs w:val="19"/>
        </w:rPr>
        <w:t>e asgari sermaye şartlarını Bakanlıktan/ticaret sicili müdürlüğünden teyit ediniz.</w:t>
      </w:r>
    </w:p>
    <w:p w14:paraId="292DF9D9" w14:textId="77777777" w:rsidR="00E262C2" w:rsidRDefault="00E262C2">
      <w:pPr>
        <w:shd w:val="clear" w:color="auto" w:fill="FDF8E6"/>
        <w:divId w:val="710300572"/>
        <w:rPr>
          <w:rFonts w:ascii="Arial" w:eastAsia="Times New Roman" w:hAnsi="Arial" w:cs="Arial"/>
          <w:color w:val="000000"/>
          <w:sz w:val="18"/>
          <w:szCs w:val="18"/>
        </w:rPr>
      </w:pPr>
      <w:r>
        <w:rPr>
          <w:rStyle w:val="Gl"/>
          <w:rFonts w:ascii="Arial" w:eastAsia="Times New Roman" w:hAnsi="Arial" w:cs="Arial"/>
          <w:color w:val="000000"/>
          <w:sz w:val="18"/>
          <w:szCs w:val="18"/>
        </w:rPr>
        <w:t>DİKKAT.</w:t>
      </w:r>
      <w:r>
        <w:rPr>
          <w:rFonts w:ascii="Arial" w:eastAsia="Times New Roman" w:hAnsi="Arial" w:cs="Arial"/>
          <w:color w:val="000000"/>
          <w:sz w:val="18"/>
          <w:szCs w:val="18"/>
        </w:rPr>
        <w:t xml:space="preserve"> Holding kuruluşu, sermaye ve izin bakımından sıradan bir anonim şirketten farklı şartlara tabi olabilir (Ticaret Bakanlığı izni ve daha yüksek asgari sermaye gibi). Bu şablon </w:t>
      </w:r>
      <w:r>
        <w:rPr>
          <w:rStyle w:val="Gl"/>
          <w:rFonts w:ascii="Arial" w:eastAsia="Times New Roman" w:hAnsi="Arial" w:cs="Arial"/>
          <w:color w:val="000000"/>
          <w:sz w:val="18"/>
          <w:szCs w:val="18"/>
        </w:rPr>
        <w:t>yapıyı ve amaç maddesini</w:t>
      </w:r>
      <w:r>
        <w:rPr>
          <w:rFonts w:ascii="Arial" w:eastAsia="Times New Roman" w:hAnsi="Arial" w:cs="Arial"/>
          <w:color w:val="000000"/>
          <w:sz w:val="18"/>
          <w:szCs w:val="18"/>
        </w:rPr>
        <w:t xml:space="preserve"> göstermek içindir; kuruluş kararı vermeden önce mutlaka mali müşavirinize ve avukatınıza danışın.</w:t>
      </w:r>
    </w:p>
    <w:p w14:paraId="63D6BA6B" w14:textId="77777777" w:rsidR="00E262C2" w:rsidRDefault="00E262C2">
      <w:pPr>
        <w:pStyle w:val="Balk2"/>
        <w:rPr>
          <w:rFonts w:eastAsia="Times New Roman"/>
          <w:color w:val="000000"/>
        </w:rPr>
      </w:pPr>
      <w:r>
        <w:rPr>
          <w:rFonts w:eastAsia="Times New Roman"/>
          <w:color w:val="000000"/>
        </w:rPr>
        <w:t>MADDE 1 – KURULUŞ</w:t>
      </w:r>
    </w:p>
    <w:p w14:paraId="3FBA8ABD" w14:textId="77777777" w:rsidR="00E262C2" w:rsidRDefault="00E262C2">
      <w:pPr>
        <w:pStyle w:val="NormalWeb"/>
        <w:rPr>
          <w:color w:val="000000"/>
          <w:sz w:val="23"/>
          <w:szCs w:val="23"/>
        </w:rPr>
      </w:pPr>
      <w:r>
        <w:rPr>
          <w:color w:val="000000"/>
          <w:sz w:val="23"/>
          <w:szCs w:val="23"/>
        </w:rPr>
        <w:t>Aşağıda adları, soyadları/unvanları, yerleşim yerleri ve uyrukları yazılı kurucular arasında Türk Ticaret Kanunu'nun anonim şirketlerin ani surette kurulmaları hakkındaki hükümlerine göre bir anonim şirket kurulmuştur.</w:t>
      </w:r>
    </w:p>
    <w:p w14:paraId="726955C4" w14:textId="77777777" w:rsidR="00E262C2" w:rsidRDefault="00E262C2">
      <w:pPr>
        <w:pStyle w:val="Balk2"/>
        <w:rPr>
          <w:rFonts w:eastAsia="Times New Roman"/>
          <w:color w:val="000000"/>
        </w:rPr>
      </w:pPr>
      <w:r>
        <w:rPr>
          <w:rFonts w:eastAsia="Times New Roman"/>
          <w:color w:val="000000"/>
        </w:rPr>
        <w:t>MADDE 2 – KURUCULAR</w:t>
      </w:r>
    </w:p>
    <w:tbl>
      <w:tblPr>
        <w:tblW w:w="5000" w:type="pct"/>
        <w:tblCellMar>
          <w:top w:w="15" w:type="dxa"/>
          <w:left w:w="15" w:type="dxa"/>
          <w:bottom w:w="15" w:type="dxa"/>
          <w:right w:w="15" w:type="dxa"/>
        </w:tblCellMar>
        <w:tblLook w:val="04A0" w:firstRow="1" w:lastRow="0" w:firstColumn="1" w:lastColumn="0" w:noHBand="0" w:noVBand="1"/>
      </w:tblPr>
      <w:tblGrid>
        <w:gridCol w:w="470"/>
        <w:gridCol w:w="3105"/>
        <w:gridCol w:w="1412"/>
        <w:gridCol w:w="1788"/>
        <w:gridCol w:w="2635"/>
      </w:tblGrid>
      <w:tr w:rsidR="00000000" w14:paraId="59E15918" w14:textId="77777777">
        <w:tc>
          <w:tcPr>
            <w:tcW w:w="2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E0C29A0"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w:t>
            </w:r>
          </w:p>
        </w:tc>
        <w:tc>
          <w:tcPr>
            <w:tcW w:w="16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3A5CED8"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Ticaret Unvanı</w:t>
            </w:r>
          </w:p>
        </w:tc>
        <w:tc>
          <w:tcPr>
            <w:tcW w:w="7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AFD07A4"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9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81AE9E1"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B8B4BA1"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 / Merkez Adresi</w:t>
            </w:r>
          </w:p>
        </w:tc>
      </w:tr>
      <w:tr w:rsidR="00000000" w14:paraId="4CCE65D8"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523E66E" w14:textId="77777777" w:rsidR="00E262C2" w:rsidRDefault="00E262C2">
            <w:pPr>
              <w:spacing w:before="200" w:after="200"/>
              <w:rPr>
                <w:rFonts w:eastAsia="Times New Roman"/>
                <w:color w:val="000000"/>
                <w:sz w:val="20"/>
                <w:szCs w:val="20"/>
              </w:rPr>
            </w:pPr>
            <w:r>
              <w:rPr>
                <w:rFonts w:eastAsia="Times New Roman"/>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D4BD557" w14:textId="77777777" w:rsidR="00E262C2" w:rsidRDefault="00E262C2">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443A1B" w14:textId="77777777" w:rsidR="00E262C2" w:rsidRDefault="00E262C2">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175ECEF" w14:textId="77777777" w:rsidR="00E262C2" w:rsidRDefault="00E262C2">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40F5F79" w14:textId="77777777" w:rsidR="00E262C2" w:rsidRDefault="00E262C2">
            <w:pPr>
              <w:spacing w:before="200" w:after="200"/>
              <w:rPr>
                <w:rFonts w:eastAsia="Times New Roman"/>
                <w:color w:val="000000"/>
                <w:sz w:val="20"/>
                <w:szCs w:val="20"/>
              </w:rPr>
            </w:pPr>
            <w:r>
              <w:rPr>
                <w:rFonts w:eastAsia="Times New Roman"/>
                <w:color w:val="000000"/>
                <w:sz w:val="20"/>
                <w:szCs w:val="20"/>
              </w:rPr>
              <w:t>[AÇIK ADRES]</w:t>
            </w:r>
          </w:p>
        </w:tc>
      </w:tr>
      <w:tr w:rsidR="00000000" w14:paraId="4906F679"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525F4D9" w14:textId="77777777" w:rsidR="00E262C2" w:rsidRDefault="00E262C2">
            <w:pPr>
              <w:spacing w:before="200" w:after="200"/>
              <w:rPr>
                <w:rFonts w:eastAsia="Times New Roman"/>
                <w:color w:val="000000"/>
                <w:sz w:val="20"/>
                <w:szCs w:val="20"/>
              </w:rPr>
            </w:pPr>
            <w:r>
              <w:rPr>
                <w:rFonts w:eastAsia="Times New Roman"/>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C2EF975" w14:textId="77777777" w:rsidR="00E262C2" w:rsidRDefault="00E262C2">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24C210" w14:textId="77777777" w:rsidR="00E262C2" w:rsidRDefault="00E262C2">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35C15F" w14:textId="77777777" w:rsidR="00E262C2" w:rsidRDefault="00E262C2">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B48202B" w14:textId="77777777" w:rsidR="00E262C2" w:rsidRDefault="00E262C2">
            <w:pPr>
              <w:spacing w:before="200" w:after="200"/>
              <w:rPr>
                <w:rFonts w:eastAsia="Times New Roman"/>
                <w:color w:val="000000"/>
                <w:sz w:val="20"/>
                <w:szCs w:val="20"/>
              </w:rPr>
            </w:pPr>
            <w:r>
              <w:rPr>
                <w:rFonts w:eastAsia="Times New Roman"/>
                <w:color w:val="000000"/>
                <w:sz w:val="20"/>
                <w:szCs w:val="20"/>
              </w:rPr>
              <w:t>[AÇIK ADRES]</w:t>
            </w:r>
          </w:p>
        </w:tc>
      </w:tr>
      <w:tr w:rsidR="00000000" w14:paraId="06D4C34A"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B2A6CAE" w14:textId="77777777" w:rsidR="00E262C2" w:rsidRDefault="00E262C2">
            <w:pPr>
              <w:spacing w:before="200" w:after="200"/>
              <w:rPr>
                <w:rFonts w:eastAsia="Times New Roman"/>
                <w:color w:val="000000"/>
                <w:sz w:val="20"/>
                <w:szCs w:val="20"/>
              </w:rPr>
            </w:pPr>
            <w:r>
              <w:rPr>
                <w:rFonts w:eastAsia="Times New Roman"/>
                <w:color w:val="000000"/>
                <w:sz w:val="20"/>
                <w:szCs w:val="20"/>
              </w:rPr>
              <w:t>3</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5981832" w14:textId="77777777" w:rsidR="00E262C2" w:rsidRDefault="00E262C2">
            <w:pPr>
              <w:spacing w:before="200" w:after="200"/>
              <w:rPr>
                <w:rFonts w:eastAsia="Times New Roman"/>
                <w:color w:val="000000"/>
                <w:sz w:val="20"/>
                <w:szCs w:val="20"/>
              </w:rPr>
            </w:pPr>
            <w:r>
              <w:rPr>
                <w:rFonts w:eastAsia="Times New Roman"/>
                <w:color w:val="000000"/>
                <w:sz w:val="20"/>
                <w:szCs w:val="20"/>
              </w:rPr>
              <w:t>[TÜZEL KİŞİ UNVANI]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6E4E67F" w14:textId="77777777" w:rsidR="00E262C2" w:rsidRDefault="00E262C2">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66B4FAF" w14:textId="77777777" w:rsidR="00E262C2" w:rsidRDefault="00E262C2">
            <w:pPr>
              <w:spacing w:before="200" w:after="200"/>
              <w:rPr>
                <w:rFonts w:eastAsia="Times New Roman"/>
                <w:color w:val="000000"/>
                <w:sz w:val="20"/>
                <w:szCs w:val="20"/>
              </w:rPr>
            </w:pPr>
            <w:r>
              <w:rPr>
                <w:rFonts w:eastAsia="Times New Roman"/>
                <w:color w:val="000000"/>
                <w:sz w:val="20"/>
                <w:szCs w:val="20"/>
              </w:rPr>
              <w:t>[VERGİ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DDCB33C" w14:textId="77777777" w:rsidR="00E262C2" w:rsidRDefault="00E262C2">
            <w:pPr>
              <w:spacing w:before="200" w:after="200"/>
              <w:rPr>
                <w:rFonts w:eastAsia="Times New Roman"/>
                <w:color w:val="000000"/>
                <w:sz w:val="20"/>
                <w:szCs w:val="20"/>
              </w:rPr>
            </w:pPr>
            <w:r>
              <w:rPr>
                <w:rFonts w:eastAsia="Times New Roman"/>
                <w:color w:val="000000"/>
                <w:sz w:val="20"/>
                <w:szCs w:val="20"/>
              </w:rPr>
              <w:t>[MERKEZ ADRESİ]</w:t>
            </w:r>
          </w:p>
        </w:tc>
      </w:tr>
    </w:tbl>
    <w:p w14:paraId="2B54B418" w14:textId="77777777" w:rsidR="00E262C2" w:rsidRDefault="00E262C2">
      <w:pPr>
        <w:pStyle w:val="Balk2"/>
        <w:rPr>
          <w:rFonts w:eastAsia="Times New Roman"/>
          <w:color w:val="000000"/>
        </w:rPr>
      </w:pPr>
      <w:r>
        <w:rPr>
          <w:rFonts w:eastAsia="Times New Roman"/>
          <w:color w:val="000000"/>
        </w:rPr>
        <w:t>MADDE 3 – ŞİRKETİN TİCARET UNVANI</w:t>
      </w:r>
    </w:p>
    <w:p w14:paraId="6B8DB7C3" w14:textId="77777777" w:rsidR="00E262C2" w:rsidRDefault="00E262C2">
      <w:pPr>
        <w:pStyle w:val="NormalWeb"/>
        <w:rPr>
          <w:color w:val="000000"/>
          <w:sz w:val="23"/>
          <w:szCs w:val="23"/>
        </w:rPr>
      </w:pPr>
      <w:r>
        <w:rPr>
          <w:color w:val="000000"/>
          <w:sz w:val="23"/>
          <w:szCs w:val="23"/>
        </w:rPr>
        <w:t xml:space="preserve">Şirketin ticaret unvanı </w:t>
      </w:r>
      <w:r>
        <w:rPr>
          <w:rStyle w:val="Gl"/>
          <w:color w:val="000000"/>
          <w:sz w:val="23"/>
          <w:szCs w:val="23"/>
        </w:rPr>
        <w:t>"[ŞİRKET UNVANI] HOLDİNG ANONİM ŞİRKETİ"</w:t>
      </w:r>
      <w:r>
        <w:rPr>
          <w:color w:val="000000"/>
          <w:sz w:val="23"/>
          <w:szCs w:val="23"/>
        </w:rPr>
        <w:t>dir.</w:t>
      </w:r>
    </w:p>
    <w:p w14:paraId="36CF92C6" w14:textId="77777777" w:rsidR="00E262C2" w:rsidRDefault="00E262C2">
      <w:pPr>
        <w:pStyle w:val="Balk2"/>
        <w:rPr>
          <w:rFonts w:eastAsia="Times New Roman"/>
          <w:color w:val="000000"/>
        </w:rPr>
      </w:pPr>
      <w:r>
        <w:rPr>
          <w:rFonts w:eastAsia="Times New Roman"/>
          <w:color w:val="000000"/>
        </w:rPr>
        <w:t>MADDE 4 – AMAÇ VE KONU</w:t>
      </w:r>
    </w:p>
    <w:p w14:paraId="543E952A" w14:textId="77777777" w:rsidR="00E262C2" w:rsidRDefault="00E262C2">
      <w:pPr>
        <w:pStyle w:val="NormalWeb"/>
        <w:rPr>
          <w:color w:val="000000"/>
          <w:sz w:val="23"/>
          <w:szCs w:val="23"/>
        </w:rPr>
      </w:pPr>
      <w:r>
        <w:rPr>
          <w:color w:val="000000"/>
          <w:sz w:val="23"/>
          <w:szCs w:val="23"/>
        </w:rPr>
        <w:t>Şirketin kuruluş amacı, sermayesine ve yönetimine katıldığı şirketlerin faaliyetlerini ortak bir strateji doğrultusunda yürütmek, geliştirmek, koordine etmek ve verimliliklerini artırmaktır. Bu amaçla Şirket:</w:t>
      </w:r>
    </w:p>
    <w:p w14:paraId="7FED40EC"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Kurulmuş veya kurulacak sermaye şirketlerinin sermayelerine ve yönetimlerine katılabilir, bu şirketlerin paylarını satın alabilir, devralabilir, devredebilir, rehnedebilir ve bunlar üzerinde her türlü tasarrufta bulunabilir.</w:t>
      </w:r>
    </w:p>
    <w:p w14:paraId="4BE0A7AD"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lastRenderedPageBreak/>
        <w:t>İştiraklerinin sermaye artırımlarına katılabilir, rüçhan haklarını kullanabilir veya kullanmaktan vazgeçebilir; iştirak paylarını halka arz edebilir.</w:t>
      </w:r>
    </w:p>
    <w:p w14:paraId="048D8120"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İştiraklerinin genel kurullarında Şirketi temsil edecek kişileri belirleyebilir, bu kişilere oy talimatı verebilir; iştiraklerin yönetim organlarına aday gösterebilir.</w:t>
      </w:r>
    </w:p>
    <w:p w14:paraId="439F63F8"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İştiraklerine yönetim, muhasebe, finans, hukuk, insan kaynakları, bilgi işlem, pazarlama, satın alma, iç denetim ve risk yönetimi alanlarında hizmet ve danışmanlık verebilir; bu hizmetler karşılığında bedel tahsil edebilir.</w:t>
      </w:r>
    </w:p>
    <w:p w14:paraId="54CAF589"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İştiraklerinin finansman ihtiyaçlarını, ilgili mevzuat hükümleri saklı kalmak kaydıyla karşılayabilir; bu amaçla borç verebilir, kefil olabilir, garanti ve teminat verebilir. Bu işlemlerde Türk Ticaret Kanunu'nun ortaklara borç verilmesi, şirketler topluluğu ve yönetim kurulu üyeleriyle işlem yasağına ilişkin hükümlerine uyulur; bankacılık ve sermaye piyasası mevzuatına tabi faaliyetlerde bulunulamaz.</w:t>
      </w:r>
    </w:p>
    <w:p w14:paraId="093A7DD0"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 xml:space="preserve">Yatırım amacıyla menkul kıymet edinebilir ve elden çıkarabilir. </w:t>
      </w:r>
      <w:r>
        <w:rPr>
          <w:rStyle w:val="Gl"/>
          <w:rFonts w:eastAsia="Times New Roman"/>
          <w:color w:val="000000"/>
          <w:sz w:val="23"/>
          <w:szCs w:val="23"/>
        </w:rPr>
        <w:t>Ancak</w:t>
      </w:r>
      <w:r>
        <w:rPr>
          <w:rFonts w:eastAsia="Times New Roman"/>
          <w:color w:val="000000"/>
          <w:sz w:val="23"/>
          <w:szCs w:val="23"/>
        </w:rPr>
        <w:t xml:space="preserve"> </w:t>
      </w:r>
      <w:r>
        <w:rPr>
          <w:rFonts w:eastAsia="Times New Roman"/>
          <w:color w:val="000000"/>
          <w:sz w:val="23"/>
          <w:szCs w:val="23"/>
        </w:rPr>
        <w:t>Şirket, sermaye piyasası faaliyeti niteliğinde aracılık, portföy yöneticiliği ve yatırım danışmanlığı faaliyetlerinde bulunamaz.</w:t>
      </w:r>
    </w:p>
    <w:p w14:paraId="23F93D67"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Şirketin ve iştiraklerinin ihtiyacı olan taşınmazları satın alabilir, satabilir, kiralayabilir, kiraya verebilir; taşınmazlar üzerinde ipotek, intifa ve irtifak hakları tesis edebilir, bunları fek ve terkin edebilir.</w:t>
      </w:r>
    </w:p>
    <w:p w14:paraId="2BB54BAC"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Marka, patent, faydalı model, endüstriyel tasarım, know-how ve diğer sınai ve fikri mülkiyet haklarını iktisap edebilir, devredebilir; iştiraklerine lisans verebilir.</w:t>
      </w:r>
    </w:p>
    <w:p w14:paraId="6524C240"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Amacını gerçekleştirmek için bankalardan ve finans kuruluşlarından kredi kullanabilir, tahvil ve benzeri borçlanma araçlarını ilgili mevzuata uygun olarak ihraç edebilir.</w:t>
      </w:r>
    </w:p>
    <w:p w14:paraId="4E3CF701" w14:textId="77777777" w:rsidR="00E262C2" w:rsidRDefault="00E262C2">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Yurt içinde ve yurt dışında şube, büro ve temsilcilik açabilir.</w:t>
      </w:r>
    </w:p>
    <w:p w14:paraId="13DCAE78" w14:textId="77777777" w:rsidR="00E262C2" w:rsidRDefault="00E262C2">
      <w:pPr>
        <w:pStyle w:val="NormalWeb"/>
        <w:rPr>
          <w:color w:val="000000"/>
          <w:sz w:val="23"/>
          <w:szCs w:val="23"/>
        </w:rPr>
      </w:pPr>
      <w:r>
        <w:rPr>
          <w:color w:val="000000"/>
          <w:sz w:val="23"/>
          <w:szCs w:val="23"/>
        </w:rPr>
        <w:t>Yukarıda gösterilen konulardan başka ileride Şirket için faydalı ve gerekli görülecek işlere girişilmek istendiğinde, yönetim kurulunun teklifi üzerine keyfiyet genel kurulun onayına sunulur; esas sözleşme değişikliği niteliğindeki bu kararın uygulanabilmesi için gerekli izinler alınır ve karar ticaret siciline tescil ettirilir.</w:t>
      </w:r>
    </w:p>
    <w:p w14:paraId="141DE18D" w14:textId="77777777" w:rsidR="00E262C2" w:rsidRDefault="00E262C2">
      <w:pPr>
        <w:pStyle w:val="Balk2"/>
        <w:rPr>
          <w:rFonts w:eastAsia="Times New Roman"/>
          <w:color w:val="000000"/>
        </w:rPr>
      </w:pPr>
      <w:r>
        <w:rPr>
          <w:rFonts w:eastAsia="Times New Roman"/>
          <w:color w:val="000000"/>
        </w:rPr>
        <w:t>MADDE 5 – ŞİRKETİN MERKEZİ</w:t>
      </w:r>
    </w:p>
    <w:p w14:paraId="59629B4A" w14:textId="77777777" w:rsidR="00E262C2" w:rsidRDefault="00E262C2">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w:t>
      </w:r>
      <w:r>
        <w:rPr>
          <w:color w:val="000000"/>
          <w:sz w:val="23"/>
          <w:szCs w:val="23"/>
        </w:rPr>
        <w:t>'dir. Adres değişikliğinde yeni adres ticaret siciline tescil ve Türkiye Ticaret Sicili Gazetesi'nde ilan ettirilir.</w:t>
      </w:r>
    </w:p>
    <w:p w14:paraId="36EC4125" w14:textId="77777777" w:rsidR="00E262C2" w:rsidRDefault="00E262C2">
      <w:pPr>
        <w:pStyle w:val="Balk2"/>
        <w:rPr>
          <w:rFonts w:eastAsia="Times New Roman"/>
          <w:color w:val="000000"/>
        </w:rPr>
      </w:pPr>
      <w:r>
        <w:rPr>
          <w:rFonts w:eastAsia="Times New Roman"/>
          <w:color w:val="000000"/>
        </w:rPr>
        <w:t>MADDE 6 – ŞİRKETİN SÜRESİ</w:t>
      </w:r>
    </w:p>
    <w:p w14:paraId="208C0B6D" w14:textId="77777777" w:rsidR="00E262C2" w:rsidRDefault="00E262C2">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w:t>
      </w:r>
    </w:p>
    <w:p w14:paraId="379F060D" w14:textId="77777777" w:rsidR="00E262C2" w:rsidRDefault="00E262C2">
      <w:pPr>
        <w:pStyle w:val="Balk2"/>
        <w:rPr>
          <w:rFonts w:eastAsia="Times New Roman"/>
          <w:color w:val="000000"/>
        </w:rPr>
      </w:pPr>
      <w:r>
        <w:rPr>
          <w:rFonts w:eastAsia="Times New Roman"/>
          <w:color w:val="000000"/>
        </w:rPr>
        <w:t>MADDE 7 – SERMAYE VE PAY SENETLERİNİN TÜRÜ</w:t>
      </w:r>
    </w:p>
    <w:p w14:paraId="6AB7F610" w14:textId="77777777" w:rsidR="00E262C2" w:rsidRDefault="00E262C2">
      <w:pPr>
        <w:pStyle w:val="NormalWeb"/>
        <w:rPr>
          <w:color w:val="000000"/>
          <w:sz w:val="23"/>
          <w:szCs w:val="23"/>
        </w:rPr>
      </w:pPr>
      <w:r>
        <w:rPr>
          <w:color w:val="000000"/>
          <w:sz w:val="23"/>
          <w:szCs w:val="23"/>
        </w:rPr>
        <w:t xml:space="preserve">Şirketin sermayesi </w:t>
      </w:r>
      <w:r>
        <w:rPr>
          <w:rStyle w:val="Gl"/>
          <w:color w:val="000000"/>
          <w:sz w:val="23"/>
          <w:szCs w:val="23"/>
        </w:rPr>
        <w:t>[SERMAYE TUTARI] TL</w:t>
      </w:r>
      <w:r>
        <w:rPr>
          <w:color w:val="000000"/>
          <w:sz w:val="23"/>
          <w:szCs w:val="23"/>
        </w:rPr>
        <w:t xml:space="preserve"> değerindedir. Bu sermaye, her biri </w:t>
      </w:r>
      <w:r>
        <w:rPr>
          <w:rStyle w:val="Gl"/>
          <w:color w:val="000000"/>
          <w:sz w:val="23"/>
          <w:szCs w:val="23"/>
        </w:rPr>
        <w:t>[ ] TL</w:t>
      </w:r>
      <w:r>
        <w:rPr>
          <w:color w:val="000000"/>
          <w:sz w:val="23"/>
          <w:szCs w:val="23"/>
        </w:rPr>
        <w:t xml:space="preserve"> itibari değerde </w:t>
      </w:r>
      <w:r>
        <w:rPr>
          <w:rStyle w:val="Gl"/>
          <w:color w:val="000000"/>
          <w:sz w:val="23"/>
          <w:szCs w:val="23"/>
        </w:rPr>
        <w:t>[ ]</w:t>
      </w:r>
      <w:r>
        <w:rPr>
          <w:color w:val="000000"/>
          <w:sz w:val="23"/>
          <w:szCs w:val="23"/>
        </w:rPr>
        <w:t xml:space="preserve"> adet </w:t>
      </w:r>
      <w:r>
        <w:rPr>
          <w:rStyle w:val="Gl"/>
          <w:color w:val="000000"/>
          <w:sz w:val="23"/>
          <w:szCs w:val="23"/>
        </w:rPr>
        <w:t>nama</w:t>
      </w:r>
      <w:r>
        <w:rPr>
          <w:color w:val="000000"/>
          <w:sz w:val="23"/>
          <w:szCs w:val="23"/>
        </w:rPr>
        <w:t xml:space="preserve"> yazılı paya ayrılmıştır.</w:t>
      </w:r>
    </w:p>
    <w:tbl>
      <w:tblPr>
        <w:tblW w:w="5000" w:type="pct"/>
        <w:tblCellMar>
          <w:top w:w="15" w:type="dxa"/>
          <w:left w:w="15" w:type="dxa"/>
          <w:bottom w:w="15" w:type="dxa"/>
          <w:right w:w="15" w:type="dxa"/>
        </w:tblCellMar>
        <w:tblLook w:val="04A0" w:firstRow="1" w:lastRow="0" w:firstColumn="1" w:lastColumn="0" w:noHBand="0" w:noVBand="1"/>
      </w:tblPr>
      <w:tblGrid>
        <w:gridCol w:w="3199"/>
        <w:gridCol w:w="1506"/>
        <w:gridCol w:w="1882"/>
        <w:gridCol w:w="1317"/>
        <w:gridCol w:w="1506"/>
      </w:tblGrid>
      <w:tr w:rsidR="00000000" w14:paraId="2752770B"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E67BFBF"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Sahibi</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D33C67F"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652D440"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2A5541F"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Oran (%)</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B98FDEF"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Grup</w:t>
            </w:r>
          </w:p>
        </w:tc>
      </w:tr>
      <w:tr w:rsidR="00000000" w14:paraId="2138D8D9"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ADA3D6" w14:textId="77777777" w:rsidR="00E262C2" w:rsidRDefault="00E262C2">
            <w:pPr>
              <w:spacing w:before="200" w:after="200"/>
              <w:rPr>
                <w:rFonts w:eastAsia="Times New Roman"/>
                <w:color w:val="000000"/>
                <w:sz w:val="20"/>
                <w:szCs w:val="20"/>
              </w:rPr>
            </w:pPr>
            <w:r>
              <w:rPr>
                <w:rFonts w:eastAsia="Times New Roman"/>
                <w:color w:val="000000"/>
                <w:sz w:val="20"/>
                <w:szCs w:val="20"/>
              </w:rPr>
              <w:t>[AD SOYAD / UNVAN]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D72FD1F"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F654076"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A66E388"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833AB20" w14:textId="77777777" w:rsidR="00E262C2" w:rsidRDefault="00E262C2">
            <w:pPr>
              <w:spacing w:before="200" w:after="200"/>
              <w:rPr>
                <w:rFonts w:eastAsia="Times New Roman"/>
                <w:color w:val="000000"/>
                <w:sz w:val="20"/>
                <w:szCs w:val="20"/>
              </w:rPr>
            </w:pPr>
            <w:r>
              <w:rPr>
                <w:rFonts w:eastAsia="Times New Roman"/>
                <w:color w:val="000000"/>
                <w:sz w:val="20"/>
                <w:szCs w:val="20"/>
              </w:rPr>
              <w:t>[A]</w:t>
            </w:r>
          </w:p>
        </w:tc>
      </w:tr>
      <w:tr w:rsidR="00000000" w14:paraId="35DE11E1"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CE3B7BA" w14:textId="77777777" w:rsidR="00E262C2" w:rsidRDefault="00E262C2">
            <w:pPr>
              <w:spacing w:before="200" w:after="200"/>
              <w:rPr>
                <w:rFonts w:eastAsia="Times New Roman"/>
                <w:color w:val="000000"/>
                <w:sz w:val="20"/>
                <w:szCs w:val="20"/>
              </w:rPr>
            </w:pPr>
            <w:r>
              <w:rPr>
                <w:rFonts w:eastAsia="Times New Roman"/>
                <w:color w:val="000000"/>
                <w:sz w:val="20"/>
                <w:szCs w:val="20"/>
              </w:rPr>
              <w:t>[AD SOYAD / UNVAN]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70C2B91"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8F04113"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3FD6938"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BA51B9" w14:textId="77777777" w:rsidR="00E262C2" w:rsidRDefault="00E262C2">
            <w:pPr>
              <w:spacing w:before="200" w:after="200"/>
              <w:rPr>
                <w:rFonts w:eastAsia="Times New Roman"/>
                <w:color w:val="000000"/>
                <w:sz w:val="20"/>
                <w:szCs w:val="20"/>
              </w:rPr>
            </w:pPr>
            <w:r>
              <w:rPr>
                <w:rFonts w:eastAsia="Times New Roman"/>
                <w:color w:val="000000"/>
                <w:sz w:val="20"/>
                <w:szCs w:val="20"/>
              </w:rPr>
              <w:t>[B]</w:t>
            </w:r>
          </w:p>
        </w:tc>
      </w:tr>
      <w:tr w:rsidR="00000000" w14:paraId="1A7D70D4"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360BF54"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198C425"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CA995FB"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0EBB685"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100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DC5DB5E"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r>
    </w:tbl>
    <w:p w14:paraId="595E3A06" w14:textId="77777777" w:rsidR="00E262C2" w:rsidRDefault="00E262C2">
      <w:pPr>
        <w:pStyle w:val="NormalWeb"/>
        <w:rPr>
          <w:color w:val="000000"/>
          <w:sz w:val="23"/>
          <w:szCs w:val="23"/>
        </w:rPr>
      </w:pPr>
      <w:r>
        <w:rPr>
          <w:color w:val="000000"/>
          <w:sz w:val="23"/>
          <w:szCs w:val="23"/>
        </w:rPr>
        <w:t xml:space="preserve">Sermayenin tamamı muvazaadan ari şekilde taahhüt edilmiştir. Nakden taahhüt edilen payların itibari değerlerinin </w:t>
      </w:r>
      <w:r>
        <w:rPr>
          <w:rStyle w:val="Gl"/>
          <w:color w:val="000000"/>
          <w:sz w:val="23"/>
          <w:szCs w:val="23"/>
        </w:rPr>
        <w:t>en az yüzde yirmi beşi</w:t>
      </w:r>
      <w:r>
        <w:rPr>
          <w:color w:val="000000"/>
          <w:sz w:val="23"/>
          <w:szCs w:val="23"/>
        </w:rPr>
        <w:t xml:space="preserve"> tescilden önce, kalanı Şirketin tescilini izleyen </w:t>
      </w:r>
      <w:r>
        <w:rPr>
          <w:rStyle w:val="Gl"/>
          <w:color w:val="000000"/>
          <w:sz w:val="23"/>
          <w:szCs w:val="23"/>
        </w:rPr>
        <w:t>yirmi dört ay</w:t>
      </w:r>
      <w:r>
        <w:rPr>
          <w:color w:val="000000"/>
          <w:sz w:val="23"/>
          <w:szCs w:val="23"/>
        </w:rPr>
        <w:t xml:space="preserve"> içinde ödenir.</w:t>
      </w:r>
    </w:p>
    <w:p w14:paraId="0EE4DD30" w14:textId="77777777" w:rsidR="00E262C2" w:rsidRDefault="00E262C2">
      <w:pPr>
        <w:shd w:val="clear" w:color="auto" w:fill="FDF8E6"/>
        <w:spacing w:before="280" w:after="280"/>
        <w:divId w:val="1637221315"/>
        <w:rPr>
          <w:rFonts w:ascii="Arial" w:eastAsia="Times New Roman" w:hAnsi="Arial" w:cs="Arial"/>
          <w:color w:val="000000"/>
          <w:sz w:val="18"/>
          <w:szCs w:val="18"/>
        </w:rPr>
      </w:pPr>
      <w:r>
        <w:rPr>
          <w:rStyle w:val="Gl"/>
          <w:rFonts w:ascii="Arial" w:eastAsia="Times New Roman" w:hAnsi="Arial" w:cs="Arial"/>
          <w:color w:val="000000"/>
          <w:sz w:val="18"/>
          <w:szCs w:val="18"/>
        </w:rPr>
        <w:t>Sermaye uyarısı.</w:t>
      </w:r>
      <w:r>
        <w:rPr>
          <w:rFonts w:ascii="Arial" w:eastAsia="Times New Roman" w:hAnsi="Arial" w:cs="Arial"/>
          <w:color w:val="000000"/>
          <w:sz w:val="18"/>
          <w:szCs w:val="18"/>
        </w:rPr>
        <w:t xml:space="preserve"> Holding şirketler için asgari sermaye ve kuruluş izni bakımından özel düzenlemeler uygulanabilir. Kuruluş öncesinde güncel asgari sermaye tutarını ve Ticaret Bakanlığı izin şartlarını mutlaka teyit ediniz. Anonim şirketler için genel asgari esas sermaye 250.000 TL, kayıtlı sermaye sisteminde başlangıç sermayesi 500.000 TL'dir.</w:t>
      </w:r>
    </w:p>
    <w:p w14:paraId="7D062837" w14:textId="77777777" w:rsidR="00E262C2" w:rsidRDefault="00E262C2">
      <w:pPr>
        <w:pStyle w:val="Balk2"/>
        <w:rPr>
          <w:rFonts w:eastAsia="Times New Roman"/>
          <w:color w:val="000000"/>
        </w:rPr>
      </w:pPr>
      <w:r>
        <w:rPr>
          <w:rFonts w:eastAsia="Times New Roman"/>
          <w:color w:val="000000"/>
        </w:rPr>
        <w:t>MADDE 8 – PAYLARIN DEVRİ</w:t>
      </w:r>
    </w:p>
    <w:p w14:paraId="7041C581" w14:textId="77777777" w:rsidR="00E262C2" w:rsidRDefault="00E262C2">
      <w:pPr>
        <w:pStyle w:val="NormalWeb"/>
        <w:rPr>
          <w:color w:val="000000"/>
          <w:sz w:val="23"/>
          <w:szCs w:val="23"/>
        </w:rPr>
      </w:pPr>
      <w:r>
        <w:rPr>
          <w:color w:val="000000"/>
          <w:sz w:val="23"/>
          <w:szCs w:val="23"/>
        </w:rPr>
        <w:t xml:space="preserve">Nama yazılı payların devri Şirketin onayına bağlıdır. Payını devretmek isteyen pay sahibi, devir şartlarını ve devralmak isteyen kişinin kimliğini yazılı olarak yönetim kuruluna bildirir. Diğer pay sahipleri, bildirimin kendilerine iletilmesinden itibaren </w:t>
      </w:r>
      <w:r>
        <w:rPr>
          <w:rStyle w:val="Gl"/>
          <w:color w:val="000000"/>
          <w:sz w:val="23"/>
          <w:szCs w:val="23"/>
        </w:rPr>
        <w:t>[30] gün</w:t>
      </w:r>
      <w:r>
        <w:rPr>
          <w:color w:val="000000"/>
          <w:sz w:val="23"/>
          <w:szCs w:val="23"/>
        </w:rPr>
        <w:t xml:space="preserve"> içinde aynı şartlarla ve payları oranında bu payları satın alma hakkına sahiptir. Bu hakkın kullanılmaması hâlinde paylar bildirilen kişiye devredilebilir. Devir, pay defterine kaydedilmekle Şirkete karşı hüküm ifade eder.</w:t>
      </w:r>
    </w:p>
    <w:p w14:paraId="2642EC10" w14:textId="77777777" w:rsidR="00E262C2" w:rsidRDefault="00E262C2">
      <w:pPr>
        <w:pStyle w:val="Balk2"/>
        <w:rPr>
          <w:rFonts w:eastAsia="Times New Roman"/>
          <w:color w:val="000000"/>
        </w:rPr>
      </w:pPr>
      <w:r>
        <w:rPr>
          <w:rFonts w:eastAsia="Times New Roman"/>
          <w:color w:val="000000"/>
        </w:rPr>
        <w:t>MADDE 9 – YÖNETİM KURULU</w:t>
      </w:r>
    </w:p>
    <w:p w14:paraId="7066E193" w14:textId="77777777" w:rsidR="00E262C2" w:rsidRDefault="00E262C2">
      <w:pPr>
        <w:pStyle w:val="NormalWeb"/>
        <w:rPr>
          <w:color w:val="000000"/>
          <w:sz w:val="23"/>
          <w:szCs w:val="23"/>
        </w:rPr>
      </w:pPr>
      <w:r>
        <w:rPr>
          <w:color w:val="000000"/>
          <w:sz w:val="23"/>
          <w:szCs w:val="23"/>
        </w:rPr>
        <w:t xml:space="preserve">Şirketin işleri ve yönetimi, genel kurul tarafından seçilecek </w:t>
      </w:r>
      <w:r>
        <w:rPr>
          <w:rStyle w:val="Gl"/>
          <w:color w:val="000000"/>
          <w:sz w:val="23"/>
          <w:szCs w:val="23"/>
        </w:rPr>
        <w:t>[ ]</w:t>
      </w:r>
      <w:r>
        <w:rPr>
          <w:color w:val="000000"/>
          <w:sz w:val="23"/>
          <w:szCs w:val="23"/>
        </w:rPr>
        <w:t xml:space="preserve"> üyeden oluşan bir yönetim kurulu tarafından yürütülür. Üyeler en çok </w:t>
      </w:r>
      <w:r>
        <w:rPr>
          <w:rStyle w:val="Gl"/>
          <w:color w:val="000000"/>
          <w:sz w:val="23"/>
          <w:szCs w:val="23"/>
        </w:rPr>
        <w:t>üç yıl</w:t>
      </w:r>
      <w:r>
        <w:rPr>
          <w:color w:val="000000"/>
          <w:sz w:val="23"/>
          <w:szCs w:val="23"/>
        </w:rPr>
        <w:t xml:space="preserve"> için seçilir; yeniden seçilmeleri mümkündür.</w:t>
      </w:r>
    </w:p>
    <w:p w14:paraId="35E8B459" w14:textId="77777777" w:rsidR="00E262C2" w:rsidRDefault="00E262C2">
      <w:pPr>
        <w:pStyle w:val="NormalWeb"/>
        <w:rPr>
          <w:color w:val="000000"/>
          <w:sz w:val="23"/>
          <w:szCs w:val="23"/>
        </w:rPr>
      </w:pPr>
      <w:r>
        <w:rPr>
          <w:rStyle w:val="Vurgu"/>
          <w:color w:val="000000"/>
          <w:sz w:val="23"/>
          <w:szCs w:val="23"/>
        </w:rPr>
        <w:t>[İmtiyaz öngörülecekse:]</w:t>
      </w:r>
      <w:r>
        <w:rPr>
          <w:color w:val="000000"/>
          <w:sz w:val="23"/>
          <w:szCs w:val="23"/>
        </w:rPr>
        <w:t xml:space="preserve"> </w:t>
      </w:r>
      <w:r>
        <w:rPr>
          <w:color w:val="000000"/>
          <w:sz w:val="23"/>
          <w:szCs w:val="23"/>
        </w:rPr>
        <w:t>"Yönetim kurulu üyelerinin [ ] adedi [A] grubu pay sahiplerinin göstereceği adaylar arasından seçilir."</w:t>
      </w:r>
    </w:p>
    <w:p w14:paraId="3B5B7C32" w14:textId="77777777" w:rsidR="00E262C2" w:rsidRDefault="00E262C2">
      <w:pPr>
        <w:pStyle w:val="NormalWeb"/>
        <w:rPr>
          <w:color w:val="000000"/>
          <w:sz w:val="23"/>
          <w:szCs w:val="23"/>
        </w:rPr>
      </w:pPr>
      <w:r>
        <w:rPr>
          <w:color w:val="000000"/>
          <w:sz w:val="23"/>
          <w:szCs w:val="23"/>
        </w:rPr>
        <w:t>Yönetim kurulu, iştiraklerin genel kurullarında Şirketi temsil edecek kişileri belirler ve bu kişilere kullanılacak oy yönünde talimat verir. İştiraklerle yapılacak hizmet, finansman ve ticari işlemler yönetim kurulu kararıyla ve piyasa şartlarına uygun olarak gerçekleştirilir.</w:t>
      </w:r>
    </w:p>
    <w:p w14:paraId="3FB8570A" w14:textId="77777777" w:rsidR="00E262C2" w:rsidRDefault="00E262C2">
      <w:pPr>
        <w:pStyle w:val="Balk2"/>
        <w:rPr>
          <w:rFonts w:eastAsia="Times New Roman"/>
          <w:color w:val="000000"/>
        </w:rPr>
      </w:pPr>
      <w:r>
        <w:rPr>
          <w:rFonts w:eastAsia="Times New Roman"/>
          <w:color w:val="000000"/>
        </w:rPr>
        <w:t>MADDE 10 – ŞİRKETİN TEMSİL VE İLZAMI</w:t>
      </w:r>
    </w:p>
    <w:p w14:paraId="1DF00269" w14:textId="77777777" w:rsidR="00E262C2" w:rsidRDefault="00E262C2">
      <w:pPr>
        <w:pStyle w:val="NormalWeb"/>
        <w:rPr>
          <w:color w:val="000000"/>
          <w:sz w:val="23"/>
          <w:szCs w:val="23"/>
        </w:rPr>
      </w:pPr>
      <w:r>
        <w:rPr>
          <w:color w:val="000000"/>
          <w:sz w:val="23"/>
          <w:szCs w:val="23"/>
        </w:rPr>
        <w:t>Şirketin yönetimi ve dışarıya karşı temsili yönetim kuruluna aittir. Şirket tarafından verilecek bütün belgelerin ve yapılacak sözleşmelerin geçerli olabilmesi için bunların Şirketin ticaret unvanı altına konmuş ve Şirketi temsile yetkili kişi veya kişilerin imzasını taşıması gereklidir. Temsile yetkili kişiler ve yetkinin kapsamı yönetim kurulu kararıyla belirlenir, tescil ve ilan olunur.</w:t>
      </w:r>
    </w:p>
    <w:p w14:paraId="1B993F94" w14:textId="77777777" w:rsidR="00E262C2" w:rsidRDefault="00E262C2">
      <w:pPr>
        <w:pStyle w:val="Balk2"/>
        <w:rPr>
          <w:rFonts w:eastAsia="Times New Roman"/>
          <w:color w:val="000000"/>
        </w:rPr>
      </w:pPr>
      <w:r>
        <w:rPr>
          <w:rFonts w:eastAsia="Times New Roman"/>
          <w:color w:val="000000"/>
        </w:rPr>
        <w:t>MADDE 11 – ŞİRKETLER TOPLULUĞU HÜKÜMLERİ</w:t>
      </w:r>
    </w:p>
    <w:p w14:paraId="6128C48A" w14:textId="77777777" w:rsidR="00E262C2" w:rsidRDefault="00E262C2">
      <w:pPr>
        <w:pStyle w:val="NormalWeb"/>
        <w:rPr>
          <w:color w:val="000000"/>
          <w:sz w:val="23"/>
          <w:szCs w:val="23"/>
        </w:rPr>
      </w:pPr>
      <w:r>
        <w:rPr>
          <w:color w:val="000000"/>
          <w:sz w:val="23"/>
          <w:szCs w:val="23"/>
        </w:rPr>
        <w:t xml:space="preserve">Şirket, hâkim şirket sıfatıyla Türk Ticaret Kanunu'nun şirketler topluluğuna ilişkin hükümlerine tabidir. Bu kapsamda pay ve oy oranlarına ilişkin bildirim, tescil ve ilan yükümlülükleri yerine getirilir; bağlı şirketlerin yönetim organlarınca hazırlanacak </w:t>
      </w:r>
      <w:r>
        <w:rPr>
          <w:rStyle w:val="Gl"/>
          <w:color w:val="000000"/>
          <w:sz w:val="23"/>
          <w:szCs w:val="23"/>
        </w:rPr>
        <w:t>bağlılık raporlarının</w:t>
      </w:r>
      <w:r>
        <w:rPr>
          <w:color w:val="000000"/>
          <w:sz w:val="23"/>
          <w:szCs w:val="23"/>
        </w:rPr>
        <w:t xml:space="preserve"> kanunda öngörülen sürede düzenlenmesi gözetilir. Topluluk içi işlemlerde kayıp denkleştirmesine ilişkin kanun hükümlerine uyulur.</w:t>
      </w:r>
    </w:p>
    <w:p w14:paraId="7408CFAD" w14:textId="77777777" w:rsidR="00E262C2" w:rsidRDefault="00E262C2">
      <w:pPr>
        <w:pStyle w:val="Balk2"/>
        <w:rPr>
          <w:rFonts w:eastAsia="Times New Roman"/>
          <w:color w:val="000000"/>
        </w:rPr>
      </w:pPr>
      <w:r>
        <w:rPr>
          <w:rFonts w:eastAsia="Times New Roman"/>
          <w:color w:val="000000"/>
        </w:rPr>
        <w:t>MADDE 12 – GENEL KURUL</w:t>
      </w:r>
    </w:p>
    <w:p w14:paraId="11140F1F" w14:textId="77777777" w:rsidR="00E262C2" w:rsidRDefault="00E262C2">
      <w:pPr>
        <w:pStyle w:val="NormalWeb"/>
        <w:rPr>
          <w:color w:val="000000"/>
          <w:sz w:val="23"/>
          <w:szCs w:val="23"/>
        </w:rPr>
      </w:pPr>
      <w:r>
        <w:rPr>
          <w:color w:val="000000"/>
          <w:sz w:val="23"/>
          <w:szCs w:val="23"/>
        </w:rPr>
        <w:t xml:space="preserve">Genel kurullar olağan veya olağanüstü olarak toplanır. Olağan genel kurul, hesap döneminin sonundan itibaren </w:t>
      </w:r>
      <w:r>
        <w:rPr>
          <w:rStyle w:val="Gl"/>
          <w:color w:val="000000"/>
          <w:sz w:val="23"/>
          <w:szCs w:val="23"/>
        </w:rPr>
        <w:t>üç ay</w:t>
      </w:r>
      <w:r>
        <w:rPr>
          <w:color w:val="000000"/>
          <w:sz w:val="23"/>
          <w:szCs w:val="23"/>
        </w:rPr>
        <w:t xml:space="preserve"> içinde ve yılda en az bir defa toplanır. Genel kurul toplantıya, Şirketin internet sitesinde ve Türkiye Ticaret Sicili Gazetesi'nde yayımlanan ilanla, ilan ve toplantı günleri hariç olmak üzere </w:t>
      </w:r>
      <w:r>
        <w:rPr>
          <w:rStyle w:val="Gl"/>
          <w:color w:val="000000"/>
          <w:sz w:val="23"/>
          <w:szCs w:val="23"/>
        </w:rPr>
        <w:t>en az iki hafta önce</w:t>
      </w:r>
      <w:r>
        <w:rPr>
          <w:color w:val="000000"/>
          <w:sz w:val="23"/>
          <w:szCs w:val="23"/>
        </w:rPr>
        <w:t xml:space="preserve"> çağrılır. Toplantı ve karar nisaplarında Türk Ticaret Kanunu hükümleri uygulanır. Hak sahipleri genel kurul toplantılarına Türk Ticaret Kanunu'nun 1527. maddesi uyarınca elektronik ortamda da katılabilir.</w:t>
      </w:r>
    </w:p>
    <w:p w14:paraId="4994C1B2" w14:textId="77777777" w:rsidR="00E262C2" w:rsidRDefault="00E262C2">
      <w:pPr>
        <w:pStyle w:val="Balk2"/>
        <w:rPr>
          <w:rFonts w:eastAsia="Times New Roman"/>
          <w:color w:val="000000"/>
        </w:rPr>
      </w:pPr>
      <w:r>
        <w:rPr>
          <w:rFonts w:eastAsia="Times New Roman"/>
          <w:color w:val="000000"/>
        </w:rPr>
        <w:t>MADDE 13 – BAKANLIK TEMSİLCİSİ, İLANLAR VE HESAP DÖNEMİ</w:t>
      </w:r>
    </w:p>
    <w:p w14:paraId="6AD7B4A9" w14:textId="77777777" w:rsidR="00E262C2" w:rsidRDefault="00E262C2">
      <w:pPr>
        <w:pStyle w:val="NormalWeb"/>
        <w:rPr>
          <w:color w:val="000000"/>
          <w:sz w:val="23"/>
          <w:szCs w:val="23"/>
        </w:rPr>
      </w:pPr>
      <w:r>
        <w:rPr>
          <w:color w:val="000000"/>
          <w:sz w:val="23"/>
          <w:szCs w:val="23"/>
        </w:rPr>
        <w:t>Kanun ve ilgili yönetmelik uyarınca Bakanlık temsilcisi bulundurulması zorunlu olan toplantılarda temsilcinin bulunması ve tutanakları imzalaması şarttır. Şirkete ait ilanlar, Türk Ticaret Kanunu'nun 35. maddesinin dördüncü fıkrası saklı kalmak kaydıyla Şirket merkezinin bulunduğu yerde çıkan bir gazetede yapılır. Şirketin hesap yılı Ocak ayının birinci gününden başlar, Aralık ayının sonuncu günü sona erer; birinci hesap yılı tescil tarihinde başlar.</w:t>
      </w:r>
    </w:p>
    <w:p w14:paraId="703A9FEB" w14:textId="77777777" w:rsidR="00E262C2" w:rsidRDefault="00E262C2">
      <w:pPr>
        <w:pStyle w:val="Balk2"/>
        <w:rPr>
          <w:rFonts w:eastAsia="Times New Roman"/>
          <w:color w:val="000000"/>
        </w:rPr>
      </w:pPr>
      <w:r>
        <w:rPr>
          <w:rFonts w:eastAsia="Times New Roman"/>
          <w:color w:val="000000"/>
        </w:rPr>
        <w:t>MADDE 14 – KÂRIN TESPİTİ VE DAĞITIMI</w:t>
      </w:r>
    </w:p>
    <w:p w14:paraId="1415E333" w14:textId="77777777" w:rsidR="00E262C2" w:rsidRDefault="00E262C2">
      <w:pPr>
        <w:pStyle w:val="NormalWeb"/>
        <w:rPr>
          <w:color w:val="000000"/>
          <w:sz w:val="23"/>
          <w:szCs w:val="23"/>
        </w:rPr>
      </w:pPr>
      <w:r>
        <w:rPr>
          <w:color w:val="000000"/>
          <w:sz w:val="23"/>
          <w:szCs w:val="23"/>
        </w:rPr>
        <w:t>Net dönem kârından yüzde beş oranında genel kanuni yedek akçe ayrılır; bu yedek akçe ödenmiş sermayenin yüzde yirmisine ulaşıncaya kadar ayrılmaya devam edilir. Kalandan ödenmiş sermayenin yüzde beşi oranında kâr payı ödenir. Kalan kısmın kısmen veya tamamen olağanüstü yedek akçeye ayrılmasına veya dağıtılmasına genel kurul yetkilidir. İştiraklerden elde edilen kâr paylarının değerlendirilmesinde de aynı esaslar uygulanır.</w:t>
      </w:r>
    </w:p>
    <w:p w14:paraId="26B9D380" w14:textId="77777777" w:rsidR="00E262C2" w:rsidRDefault="00E262C2">
      <w:pPr>
        <w:pStyle w:val="Balk2"/>
        <w:rPr>
          <w:rFonts w:eastAsia="Times New Roman"/>
          <w:color w:val="000000"/>
        </w:rPr>
      </w:pPr>
      <w:r>
        <w:rPr>
          <w:rFonts w:eastAsia="Times New Roman"/>
          <w:color w:val="000000"/>
        </w:rPr>
        <w:t>MADDE 15 – KANUNİ HÜKÜMLER</w:t>
      </w:r>
    </w:p>
    <w:p w14:paraId="41F3A347" w14:textId="77777777" w:rsidR="00E262C2" w:rsidRDefault="00E262C2">
      <w:pPr>
        <w:pStyle w:val="NormalWeb"/>
        <w:rPr>
          <w:color w:val="000000"/>
          <w:sz w:val="23"/>
          <w:szCs w:val="23"/>
        </w:rPr>
      </w:pPr>
      <w:r>
        <w:rPr>
          <w:color w:val="000000"/>
          <w:sz w:val="23"/>
          <w:szCs w:val="23"/>
        </w:rPr>
        <w:t>Bu esas sözleşmede bulunmayan hususlar hakkında Türk Ticaret Kanunu hükümleri uygulanır. Şirketin kuruluşundan doğan giderler Şirkete aittir.</w:t>
      </w:r>
    </w:p>
    <w:p w14:paraId="3ACBA319" w14:textId="77777777" w:rsidR="00E262C2" w:rsidRDefault="00E262C2">
      <w:pPr>
        <w:pStyle w:val="NormalWeb"/>
        <w:spacing w:before="440"/>
        <w:divId w:val="1727484585"/>
        <w:rPr>
          <w:color w:val="000000"/>
          <w:sz w:val="21"/>
          <w:szCs w:val="21"/>
        </w:rPr>
      </w:pPr>
      <w:r>
        <w:rPr>
          <w:rStyle w:val="Gl"/>
          <w:color w:val="000000"/>
          <w:sz w:val="21"/>
          <w:szCs w:val="21"/>
        </w:rPr>
        <w:t>KURUCULARIN İMZALARI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1F3BFEE0" w14:textId="77777777">
        <w:trPr>
          <w:divId w:val="1727484585"/>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13CDAC9"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6A22FA8"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70B0352"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C8B189D" w14:textId="77777777" w:rsidR="00E262C2" w:rsidRDefault="00E262C2">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0FE6CBD9" w14:textId="77777777">
        <w:trPr>
          <w:divId w:val="1727484585"/>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BADA7EC" w14:textId="77777777" w:rsidR="00E262C2" w:rsidRDefault="00E262C2">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00FECB1"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DF8019D"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E62D088" w14:textId="77777777" w:rsidR="00E262C2" w:rsidRDefault="00E262C2">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7A4C7994" w14:textId="77777777">
        <w:trPr>
          <w:divId w:val="1727484585"/>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4270087" w14:textId="77777777" w:rsidR="00E262C2" w:rsidRDefault="00E262C2">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74BF378"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7C7ED75"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BED5116" w14:textId="77777777" w:rsidR="00E262C2" w:rsidRDefault="00E262C2">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68888CED" w14:textId="77777777">
        <w:trPr>
          <w:divId w:val="1727484585"/>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2E112A2" w14:textId="77777777" w:rsidR="00E262C2" w:rsidRDefault="00E262C2">
            <w:pPr>
              <w:spacing w:before="200" w:after="200"/>
              <w:rPr>
                <w:rFonts w:eastAsia="Times New Roman"/>
                <w:color w:val="000000"/>
                <w:sz w:val="20"/>
                <w:szCs w:val="20"/>
              </w:rPr>
            </w:pPr>
            <w:r>
              <w:rPr>
                <w:rFonts w:eastAsia="Times New Roman"/>
                <w:color w:val="000000"/>
                <w:sz w:val="20"/>
                <w:szCs w:val="20"/>
              </w:rPr>
              <w:t>[TÜZEL KİŞİ UNVANI]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F94B208"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67ECD4D" w14:textId="77777777" w:rsidR="00E262C2" w:rsidRDefault="00E262C2">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996C822" w14:textId="77777777" w:rsidR="00E262C2" w:rsidRDefault="00E262C2">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5993525D" w14:textId="77777777" w:rsidR="00E262C2" w:rsidRDefault="00E262C2">
      <w:pPr>
        <w:shd w:val="clear" w:color="auto" w:fill="FDF8E6"/>
        <w:spacing w:before="280" w:after="280"/>
        <w:divId w:val="1311864132"/>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w:t>
      </w:r>
      <w:r>
        <w:rPr>
          <w:rFonts w:ascii="Arial" w:eastAsia="Times New Roman" w:hAnsi="Arial" w:cs="Arial"/>
          <w:color w:val="000000"/>
          <w:sz w:val="18"/>
          <w:szCs w:val="18"/>
        </w:rPr>
        <w:t>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03CB93B4" w14:textId="77777777" w:rsidR="00E262C2" w:rsidRDefault="00E262C2">
      <w:pPr>
        <w:spacing w:before="400"/>
        <w:divId w:val="1367292344"/>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E262C2">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4F81" w14:textId="77777777" w:rsidR="00E262C2" w:rsidRDefault="00E262C2" w:rsidP="00E262C2">
      <w:r>
        <w:separator/>
      </w:r>
    </w:p>
  </w:endnote>
  <w:endnote w:type="continuationSeparator" w:id="0">
    <w:p w14:paraId="18420A46" w14:textId="77777777" w:rsidR="00E262C2" w:rsidRDefault="00E262C2" w:rsidP="00E2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C416" w14:textId="77777777" w:rsidR="00E262C2" w:rsidRDefault="00E262C2"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0BDEEC66" w14:textId="77777777" w:rsidR="00E262C2" w:rsidRDefault="00E262C2" w:rsidP="00E262C2">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58A2" w14:textId="11E51420" w:rsidR="00E262C2" w:rsidRDefault="00E262C2"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1835F137" w14:textId="023CDAAC" w:rsidR="00E262C2" w:rsidRPr="00E262C2" w:rsidRDefault="00E262C2" w:rsidP="00E262C2">
    <w:pPr>
      <w:pStyle w:val="AltBilgi"/>
      <w:ind w:right="360" w:firstLine="360"/>
      <w:jc w:val="center"/>
      <w:rPr>
        <w:rFonts w:ascii="Arial" w:hAnsi="Arial" w:cs="Arial"/>
        <w:color w:val="808080"/>
        <w:sz w:val="16"/>
      </w:rPr>
    </w:pPr>
    <w:r w:rsidRPr="00E262C2">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ECA1" w14:textId="77777777" w:rsidR="00E262C2" w:rsidRDefault="00E262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77A5" w14:textId="77777777" w:rsidR="00E262C2" w:rsidRDefault="00E262C2" w:rsidP="00E262C2">
      <w:r>
        <w:separator/>
      </w:r>
    </w:p>
  </w:footnote>
  <w:footnote w:type="continuationSeparator" w:id="0">
    <w:p w14:paraId="41FA313B" w14:textId="77777777" w:rsidR="00E262C2" w:rsidRDefault="00E262C2" w:rsidP="00E26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7FA0" w14:textId="77777777" w:rsidR="00E262C2" w:rsidRDefault="00E262C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ECD4" w14:textId="77777777" w:rsidR="00E262C2" w:rsidRDefault="00E262C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D5D0" w14:textId="77777777" w:rsidR="00E262C2" w:rsidRDefault="00E262C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F48D5"/>
    <w:multiLevelType w:val="multilevel"/>
    <w:tmpl w:val="A27C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447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262C2"/>
    <w:rsid w:val="003B6E9E"/>
    <w:rsid w:val="00E262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E0BB0"/>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E262C2"/>
    <w:pPr>
      <w:tabs>
        <w:tab w:val="center" w:pos="4536"/>
        <w:tab w:val="right" w:pos="9072"/>
      </w:tabs>
    </w:pPr>
  </w:style>
  <w:style w:type="character" w:customStyle="1" w:styleId="stBilgiChar">
    <w:name w:val="Üst Bilgi Char"/>
    <w:basedOn w:val="VarsaylanParagrafYazTipi"/>
    <w:link w:val="stBilgi"/>
    <w:uiPriority w:val="99"/>
    <w:rsid w:val="00E262C2"/>
    <w:rPr>
      <w:rFonts w:eastAsiaTheme="minorEastAsia"/>
      <w:sz w:val="24"/>
      <w:szCs w:val="24"/>
    </w:rPr>
  </w:style>
  <w:style w:type="paragraph" w:styleId="AltBilgi">
    <w:name w:val="footer"/>
    <w:basedOn w:val="Normal"/>
    <w:link w:val="AltBilgiChar"/>
    <w:uiPriority w:val="99"/>
    <w:unhideWhenUsed/>
    <w:rsid w:val="00E262C2"/>
    <w:pPr>
      <w:tabs>
        <w:tab w:val="center" w:pos="4536"/>
        <w:tab w:val="right" w:pos="9072"/>
      </w:tabs>
    </w:pPr>
  </w:style>
  <w:style w:type="character" w:customStyle="1" w:styleId="AltBilgiChar">
    <w:name w:val="Alt Bilgi Char"/>
    <w:basedOn w:val="VarsaylanParagrafYazTipi"/>
    <w:link w:val="AltBilgi"/>
    <w:uiPriority w:val="99"/>
    <w:rsid w:val="00E262C2"/>
    <w:rPr>
      <w:rFonts w:eastAsiaTheme="minorEastAsia"/>
      <w:sz w:val="24"/>
      <w:szCs w:val="24"/>
    </w:rPr>
  </w:style>
  <w:style w:type="character" w:styleId="SayfaNumaras">
    <w:name w:val="page number"/>
    <w:basedOn w:val="VarsaylanParagrafYazTipi"/>
    <w:uiPriority w:val="99"/>
    <w:semiHidden/>
    <w:unhideWhenUsed/>
    <w:rsid w:val="00E26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96439">
      <w:marLeft w:val="0"/>
      <w:marRight w:val="0"/>
      <w:marTop w:val="0"/>
      <w:marBottom w:val="280"/>
      <w:divBdr>
        <w:top w:val="none" w:sz="0" w:space="0" w:color="auto"/>
        <w:left w:val="none" w:sz="0" w:space="0" w:color="auto"/>
        <w:bottom w:val="single" w:sz="12" w:space="4" w:color="3E9C42"/>
        <w:right w:val="none" w:sz="0" w:space="0" w:color="auto"/>
      </w:divBdr>
    </w:div>
    <w:div w:id="710300572">
      <w:marLeft w:val="0"/>
      <w:marRight w:val="0"/>
      <w:marTop w:val="280"/>
      <w:marBottom w:val="280"/>
      <w:divBdr>
        <w:top w:val="single" w:sz="8" w:space="9" w:color="C9A227"/>
        <w:left w:val="single" w:sz="8" w:space="11" w:color="C9A227"/>
        <w:bottom w:val="single" w:sz="8" w:space="9" w:color="C9A227"/>
        <w:right w:val="single" w:sz="8" w:space="11" w:color="C9A227"/>
      </w:divBdr>
    </w:div>
    <w:div w:id="1142968066">
      <w:marLeft w:val="0"/>
      <w:marRight w:val="0"/>
      <w:marTop w:val="240"/>
      <w:marBottom w:val="240"/>
      <w:divBdr>
        <w:top w:val="single" w:sz="8" w:space="9" w:color="3E9C42"/>
        <w:left w:val="single" w:sz="8" w:space="11" w:color="3E9C42"/>
        <w:bottom w:val="single" w:sz="8" w:space="9" w:color="3E9C42"/>
        <w:right w:val="single" w:sz="8" w:space="11" w:color="3E9C42"/>
      </w:divBdr>
    </w:div>
    <w:div w:id="1311864132">
      <w:marLeft w:val="0"/>
      <w:marRight w:val="0"/>
      <w:marTop w:val="280"/>
      <w:marBottom w:val="280"/>
      <w:divBdr>
        <w:top w:val="single" w:sz="8" w:space="9" w:color="C9A227"/>
        <w:left w:val="single" w:sz="8" w:space="11" w:color="C9A227"/>
        <w:bottom w:val="single" w:sz="8" w:space="9" w:color="C9A227"/>
        <w:right w:val="single" w:sz="8" w:space="11" w:color="C9A227"/>
      </w:divBdr>
    </w:div>
    <w:div w:id="1367292344">
      <w:marLeft w:val="0"/>
      <w:marRight w:val="0"/>
      <w:marTop w:val="400"/>
      <w:marBottom w:val="0"/>
      <w:divBdr>
        <w:top w:val="single" w:sz="6" w:space="6" w:color="BBBBBB"/>
        <w:left w:val="none" w:sz="0" w:space="0" w:color="auto"/>
        <w:bottom w:val="none" w:sz="0" w:space="0" w:color="auto"/>
        <w:right w:val="none" w:sz="0" w:space="0" w:color="auto"/>
      </w:divBdr>
    </w:div>
    <w:div w:id="1637221315">
      <w:marLeft w:val="0"/>
      <w:marRight w:val="0"/>
      <w:marTop w:val="280"/>
      <w:marBottom w:val="280"/>
      <w:divBdr>
        <w:top w:val="single" w:sz="8" w:space="9" w:color="C9A227"/>
        <w:left w:val="single" w:sz="8" w:space="11" w:color="C9A227"/>
        <w:bottom w:val="single" w:sz="8" w:space="9" w:color="C9A227"/>
        <w:right w:val="single" w:sz="8" w:space="11" w:color="C9A227"/>
      </w:divBdr>
    </w:div>
    <w:div w:id="1727484585">
      <w:marLeft w:val="0"/>
      <w:marRight w:val="0"/>
      <w:marTop w:val="44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1520</Words>
  <Characters>8667</Characters>
  <Application>Microsoft Office Word</Application>
  <DocSecurity>4</DocSecurity>
  <Lines>72</Lines>
  <Paragraphs>20</Paragraphs>
  <ScaleCrop>false</ScaleCrop>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Holding Anonim Sirket Esas Sozlesmesi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